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2F434357" w14:textId="164BD839" w:rsidR="00707CBE" w:rsidRPr="00707CBE" w:rsidRDefault="00707CBE" w:rsidP="00707CBE">
      <w:pPr>
        <w:suppressAutoHyphens w:val="0"/>
        <w:spacing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</w:pPr>
      <w:r w:rsidRPr="00707CBE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>Pompa infuzyjna</w:t>
      </w:r>
      <w:r w:rsidR="0089775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04143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>–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E816AA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>82</w:t>
      </w:r>
      <w:r w:rsidR="0004143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sztuk</w:t>
      </w:r>
      <w:r w:rsidR="00E816AA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>i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3020B9EB" w:rsidR="005119F3" w:rsidRPr="004F4563" w:rsidRDefault="005119F3" w:rsidP="00F304E5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5119F3" w:rsidRPr="004F4563" w14:paraId="6C09CB48" w14:textId="77777777" w:rsidTr="0029746A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2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6EE37B2E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29746A">
        <w:trPr>
          <w:trHeight w:val="265"/>
        </w:trPr>
        <w:tc>
          <w:tcPr>
            <w:tcW w:w="851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B0B72" w:rsidRPr="004F4563" w14:paraId="4B6CE31A" w14:textId="77777777" w:rsidTr="0029746A">
        <w:tc>
          <w:tcPr>
            <w:tcW w:w="851" w:type="dxa"/>
            <w:vAlign w:val="center"/>
          </w:tcPr>
          <w:p w14:paraId="6FDBD947" w14:textId="77777777" w:rsidR="005B0B72" w:rsidRPr="004F4563" w:rsidRDefault="005B0B72" w:rsidP="005B0B7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02B704D" w14:textId="62A8CDBA" w:rsidR="005B0B72" w:rsidRPr="004F4563" w:rsidRDefault="005B0B72" w:rsidP="005B0B72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Pompa infuzyjna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strzykawkowa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do infuzji dożylnej lub podskórnej u pacjentów dorosłych, dzieci i noworodków w przerywanych lub ciągłych infuzjach płynów pozajelitowych, leków, krwi i preparatów krwiopochodnych.</w:t>
            </w:r>
          </w:p>
        </w:tc>
        <w:tc>
          <w:tcPr>
            <w:tcW w:w="1701" w:type="dxa"/>
            <w:vAlign w:val="center"/>
          </w:tcPr>
          <w:p w14:paraId="7D802F62" w14:textId="7E0A48D1" w:rsidR="005B0B72" w:rsidRPr="004F4563" w:rsidRDefault="005229A9" w:rsidP="005B0B7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5B0B72" w:rsidRPr="004F4563" w:rsidRDefault="005B0B72" w:rsidP="005B0B72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9D30993" w14:textId="77777777" w:rsidTr="0029746A">
        <w:tc>
          <w:tcPr>
            <w:tcW w:w="851" w:type="dxa"/>
            <w:vAlign w:val="center"/>
          </w:tcPr>
          <w:p w14:paraId="35EDF7AC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543546F" w14:textId="3331D39A" w:rsidR="005229A9" w:rsidRPr="00026529" w:rsidRDefault="005229A9" w:rsidP="005229A9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</w:pPr>
            <w:r w:rsidRP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Pompa </w:t>
            </w:r>
            <w:r w:rsidR="001603E8" w:rsidRP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musi </w:t>
            </w:r>
            <w:r w:rsidRPr="00F304E5">
              <w:rPr>
                <w:rFonts w:ascii="Calibri" w:hAnsi="Calibri" w:cs="Calibri"/>
                <w:color w:val="000000"/>
                <w:sz w:val="20"/>
                <w:szCs w:val="20"/>
              </w:rPr>
              <w:t>umożliwi</w:t>
            </w:r>
            <w:r w:rsidR="001603E8" w:rsidRPr="00F304E5">
              <w:rPr>
                <w:rFonts w:ascii="Calibri" w:hAnsi="Calibri" w:cs="Calibri"/>
                <w:color w:val="000000"/>
                <w:sz w:val="20"/>
                <w:szCs w:val="20"/>
              </w:rPr>
              <w:t>ać</w:t>
            </w:r>
            <w:r w:rsidRP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ustawienie objętości, szybkości i czasu infuzji z wysoką dokładnością przepływu.</w:t>
            </w:r>
          </w:p>
        </w:tc>
        <w:tc>
          <w:tcPr>
            <w:tcW w:w="1701" w:type="dxa"/>
            <w:vAlign w:val="center"/>
          </w:tcPr>
          <w:p w14:paraId="030ADCBA" w14:textId="0181276F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2C27A1A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340B15B" w14:textId="77777777" w:rsidTr="0029746A">
        <w:tc>
          <w:tcPr>
            <w:tcW w:w="851" w:type="dxa"/>
            <w:vAlign w:val="center"/>
          </w:tcPr>
          <w:p w14:paraId="5134E465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52ACBCF" w14:textId="00E94A3E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Urządzenie przystosowane do zasilania z sieci elektrycznej o napięciu 100–240 V~ i częstotliwości 50–60 </w:t>
            </w:r>
            <w:proofErr w:type="spellStart"/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Hz</w:t>
            </w:r>
            <w:proofErr w:type="spellEnd"/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, </w:t>
            </w:r>
          </w:p>
        </w:tc>
        <w:tc>
          <w:tcPr>
            <w:tcW w:w="1701" w:type="dxa"/>
            <w:vAlign w:val="center"/>
          </w:tcPr>
          <w:p w14:paraId="05D9AB3B" w14:textId="52D287FE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308949A3" w14:textId="77777777" w:rsidTr="0029746A">
        <w:tc>
          <w:tcPr>
            <w:tcW w:w="851" w:type="dxa"/>
            <w:vAlign w:val="center"/>
          </w:tcPr>
          <w:p w14:paraId="18027E12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2AB3E73" w14:textId="13D0684E" w:rsidR="005229A9" w:rsidRPr="003C7535" w:rsidRDefault="005229A9" w:rsidP="005229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C7535">
              <w:rPr>
                <w:rFonts w:ascii="Calibri" w:hAnsi="Calibri" w:cs="Calibri"/>
                <w:color w:val="000000"/>
                <w:sz w:val="20"/>
                <w:szCs w:val="20"/>
              </w:rPr>
              <w:t>Wyposażona w wyświetlacz, intuicyjny interfejs użytkownika</w:t>
            </w:r>
            <w:r w:rsid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</w:t>
            </w:r>
            <w:r w:rsidR="002560B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tj. </w:t>
            </w:r>
            <w:r w:rsidR="003C7535">
              <w:rPr>
                <w:rFonts w:ascii="Calibri" w:hAnsi="Calibri" w:cs="Calibri"/>
                <w:color w:val="000000"/>
                <w:sz w:val="20"/>
                <w:szCs w:val="20"/>
              </w:rPr>
              <w:t>posiadający</w:t>
            </w:r>
            <w:r w:rsid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2560B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 najmniej </w:t>
            </w:r>
            <w:r w:rsidR="00F304E5">
              <w:rPr>
                <w:rFonts w:ascii="Calibri" w:hAnsi="Calibri" w:cs="Calibri"/>
                <w:color w:val="000000"/>
                <w:sz w:val="20"/>
                <w:szCs w:val="20"/>
              </w:rPr>
              <w:t>w</w:t>
            </w:r>
            <w:r w:rsidR="00F304E5" w:rsidRPr="00F304E5">
              <w:rPr>
                <w:rFonts w:ascii="Calibri" w:hAnsi="Calibri" w:cs="Calibri"/>
                <w:color w:val="000000"/>
                <w:sz w:val="20"/>
                <w:szCs w:val="20"/>
              </w:rPr>
              <w:t>yraźne czcionki</w:t>
            </w:r>
            <w:r w:rsidR="00F304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tle ekranu</w:t>
            </w:r>
            <w:r w:rsidR="00F304E5" w:rsidRPr="00F304E5">
              <w:rPr>
                <w:rFonts w:ascii="Calibri" w:hAnsi="Calibri" w:cs="Calibri"/>
                <w:color w:val="000000"/>
                <w:sz w:val="20"/>
                <w:szCs w:val="20"/>
              </w:rPr>
              <w:t>, kontrast</w:t>
            </w:r>
            <w:r w:rsidR="003C753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umożliwiający odczytywanie komunikatów </w:t>
            </w:r>
            <w:r w:rsidR="002560B4">
              <w:rPr>
                <w:rFonts w:ascii="Calibri" w:hAnsi="Calibri" w:cs="Calibri"/>
                <w:color w:val="000000"/>
                <w:sz w:val="20"/>
                <w:szCs w:val="20"/>
              </w:rPr>
              <w:t>bez konieczności np. modyfikacji światła dziennego</w:t>
            </w:r>
            <w:r w:rsidR="00F304E5" w:rsidRPr="00F304E5">
              <w:rPr>
                <w:rFonts w:ascii="Calibri" w:hAnsi="Calibri" w:cs="Calibri"/>
                <w:color w:val="000000"/>
                <w:sz w:val="20"/>
                <w:szCs w:val="20"/>
              </w:rPr>
              <w:t>, jednoznaczne ikony</w:t>
            </w:r>
            <w:r w:rsidR="003C7535">
              <w:rPr>
                <w:rFonts w:ascii="Calibri" w:hAnsi="Calibri" w:cs="Calibri"/>
                <w:color w:val="000000"/>
                <w:sz w:val="20"/>
                <w:szCs w:val="20"/>
              </w:rPr>
              <w:t>, krótkie</w:t>
            </w:r>
            <w:r w:rsidR="002560B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 jednoznaczne</w:t>
            </w:r>
            <w:r w:rsidR="003C753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komunikaty</w:t>
            </w:r>
            <w:r w:rsidR="002560B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np. ,,brak przepływu,, czy ,,sprawdź zacisk,,</w:t>
            </w:r>
            <w:r w:rsidR="003C7535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  <w:r w:rsidRPr="003C7535">
              <w:rPr>
                <w:rFonts w:ascii="Calibri" w:hAnsi="Calibri" w:cs="Calibri"/>
                <w:color w:val="000000"/>
                <w:sz w:val="20"/>
                <w:szCs w:val="20"/>
              </w:rPr>
              <w:t>, funkcje alarmowe (np. zakończenie infuzji, okluzja, puste strzykawki), system wykrywania powietrza i zgodność z szeroką gamą strzykawek lub zestawów infuzyjnych.</w:t>
            </w:r>
          </w:p>
        </w:tc>
        <w:tc>
          <w:tcPr>
            <w:tcW w:w="1701" w:type="dxa"/>
            <w:vAlign w:val="center"/>
          </w:tcPr>
          <w:p w14:paraId="6E87874F" w14:textId="3A004831" w:rsidR="005229A9" w:rsidRPr="004F4563" w:rsidRDefault="00F304E5" w:rsidP="005229A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05ED11E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8F2CCF2" w14:textId="77777777" w:rsidTr="0029746A">
        <w:tc>
          <w:tcPr>
            <w:tcW w:w="851" w:type="dxa"/>
            <w:vAlign w:val="center"/>
          </w:tcPr>
          <w:p w14:paraId="7AACD6C6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3B85441" w14:textId="1F7E63C6" w:rsidR="005229A9" w:rsidRPr="004F4563" w:rsidRDefault="005229A9" w:rsidP="005229A9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Ochrona przed wilgocią wg EN 6060529 IP 32</w:t>
            </w:r>
            <w:r w:rsidR="00705F4F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lub równoważną</w:t>
            </w:r>
            <w:r w:rsidR="0029746A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3A8DC7C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E349837" w14:textId="77777777" w:rsidTr="0029746A">
        <w:tc>
          <w:tcPr>
            <w:tcW w:w="851" w:type="dxa"/>
            <w:vAlign w:val="center"/>
          </w:tcPr>
          <w:p w14:paraId="39D15FD9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56E33F" w14:textId="2A216320" w:rsidR="005229A9" w:rsidRPr="004F4563" w:rsidRDefault="005229A9" w:rsidP="0089775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Możliwość pracy w karetkach pogotowia z zastosowaniem</w:t>
            </w:r>
            <w:r w:rsidR="0029746A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stacji dokującej</w:t>
            </w:r>
          </w:p>
        </w:tc>
        <w:tc>
          <w:tcPr>
            <w:tcW w:w="1701" w:type="dxa"/>
            <w:vAlign w:val="center"/>
          </w:tcPr>
          <w:p w14:paraId="1058B272" w14:textId="0C8DBD80" w:rsidR="005229A9" w:rsidRPr="004F4563" w:rsidRDefault="005229A9" w:rsidP="005229A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B886B17" w14:textId="77777777" w:rsidTr="0029746A">
        <w:tc>
          <w:tcPr>
            <w:tcW w:w="851" w:type="dxa"/>
            <w:vAlign w:val="center"/>
          </w:tcPr>
          <w:p w14:paraId="42C06ADE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D0AE46" w14:textId="70E0E6BD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Zasilanie pompy bezpośrednio z sieci za pomocą kabla, zasilacz wbudowany wewnątrz urządzenia</w:t>
            </w:r>
          </w:p>
        </w:tc>
        <w:tc>
          <w:tcPr>
            <w:tcW w:w="1701" w:type="dxa"/>
            <w:vAlign w:val="center"/>
          </w:tcPr>
          <w:p w14:paraId="62BA9549" w14:textId="34AB98C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B9F903D" w14:textId="77777777" w:rsidTr="0029746A">
        <w:tc>
          <w:tcPr>
            <w:tcW w:w="851" w:type="dxa"/>
            <w:vAlign w:val="center"/>
          </w:tcPr>
          <w:p w14:paraId="6B813F6C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6B0BFE" w14:textId="7F00D7CB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Zasilanie z akumulatora wewnętrznego pow. 13 godz. przy przepływie 25 ml/godz.  </w:t>
            </w:r>
          </w:p>
        </w:tc>
        <w:tc>
          <w:tcPr>
            <w:tcW w:w="1701" w:type="dxa"/>
            <w:vAlign w:val="center"/>
          </w:tcPr>
          <w:p w14:paraId="1DB7EF8F" w14:textId="361052B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DC97090" w14:textId="77777777" w:rsidTr="0029746A">
        <w:tc>
          <w:tcPr>
            <w:tcW w:w="851" w:type="dxa"/>
            <w:vAlign w:val="center"/>
          </w:tcPr>
          <w:p w14:paraId="7C52F793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5F0B904" w14:textId="3CB49CC8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Czas ładowania baterii: pompa wyłączona ma</w:t>
            </w:r>
            <w:r w:rsidR="00B50A5C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ks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. 7 godz.</w:t>
            </w:r>
          </w:p>
        </w:tc>
        <w:tc>
          <w:tcPr>
            <w:tcW w:w="1701" w:type="dxa"/>
            <w:vAlign w:val="center"/>
          </w:tcPr>
          <w:p w14:paraId="4EF6969C" w14:textId="2B41590C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167C63C" w14:textId="77777777" w:rsidTr="0029746A">
        <w:tc>
          <w:tcPr>
            <w:tcW w:w="851" w:type="dxa"/>
            <w:vAlign w:val="center"/>
          </w:tcPr>
          <w:p w14:paraId="628FD720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3CE40E" w14:textId="4A9D7CEB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Bateria: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a) typ: </w:t>
            </w:r>
            <w:proofErr w:type="spellStart"/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litowo</w:t>
            </w:r>
            <w:proofErr w:type="spellEnd"/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-jonowa, inteligentna,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b) napięcie: min. 7,0 V, pojemność: min. 2,5 Ah,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c) wyświetlanie na ekranie informacji o pozostałym czasie pracy oraz poziomie naładowania baterii,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d) czas pracy baterii (przy pełnym naładowaniu):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 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– nie mniej niż 13 godzin przy przepływie 25 ml/h,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 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– nie mniej niż 7 godzin przy przepływie 1200 ml/h,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e) czas ładowania: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 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– przy wyłączonym urządzeniu: ma</w:t>
            </w:r>
            <w:r w:rsidR="00B50A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ks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. 7 godzin,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 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– przy włączonym urządzeniu: ma</w:t>
            </w:r>
            <w:r w:rsidR="00B50A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ks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. 21 godzin.</w:t>
            </w:r>
          </w:p>
        </w:tc>
        <w:tc>
          <w:tcPr>
            <w:tcW w:w="1701" w:type="dxa"/>
            <w:vAlign w:val="center"/>
          </w:tcPr>
          <w:p w14:paraId="1205C97A" w14:textId="0501E7CC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83217AF" w14:textId="77777777" w:rsidTr="0029746A">
        <w:tc>
          <w:tcPr>
            <w:tcW w:w="851" w:type="dxa"/>
            <w:vAlign w:val="center"/>
          </w:tcPr>
          <w:p w14:paraId="352CED20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791C2D0" w14:textId="0083130A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Lampka kontrolna zasilania oraz wskaźnik stanu naładowania akumulatora widoczne na płycie czołowej urządzenia.</w:t>
            </w:r>
          </w:p>
        </w:tc>
        <w:tc>
          <w:tcPr>
            <w:tcW w:w="1701" w:type="dxa"/>
            <w:vAlign w:val="center"/>
          </w:tcPr>
          <w:p w14:paraId="4DEB6567" w14:textId="352626B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21F55BD" w14:textId="77777777" w:rsidTr="0029746A">
        <w:tc>
          <w:tcPr>
            <w:tcW w:w="851" w:type="dxa"/>
            <w:vAlign w:val="center"/>
          </w:tcPr>
          <w:p w14:paraId="34C37A41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A35D5D2" w14:textId="3F7E0CC6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Urządzenie wyposażone w klawiaturę symboliczną</w:t>
            </w:r>
          </w:p>
        </w:tc>
        <w:tc>
          <w:tcPr>
            <w:tcW w:w="1701" w:type="dxa"/>
            <w:vAlign w:val="center"/>
          </w:tcPr>
          <w:p w14:paraId="0E58BAB3" w14:textId="13A74D3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A6EF615" w14:textId="77777777" w:rsidTr="0029746A">
        <w:tc>
          <w:tcPr>
            <w:tcW w:w="851" w:type="dxa"/>
            <w:vAlign w:val="center"/>
          </w:tcPr>
          <w:p w14:paraId="672927DF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EB8BA6" w14:textId="61BCCCDD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Automatyczna blokada klawiatury;</w:t>
            </w:r>
          </w:p>
        </w:tc>
        <w:tc>
          <w:tcPr>
            <w:tcW w:w="1701" w:type="dxa"/>
            <w:vAlign w:val="center"/>
          </w:tcPr>
          <w:p w14:paraId="57593FE3" w14:textId="144AD715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FE71398" w14:textId="77777777" w:rsidTr="0029746A">
        <w:tc>
          <w:tcPr>
            <w:tcW w:w="851" w:type="dxa"/>
            <w:vAlign w:val="center"/>
          </w:tcPr>
          <w:p w14:paraId="3DE37392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D5901D" w14:textId="230C23C9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Blokada klawiatury z użyciem min. 4-ro cyfrowego kodu</w:t>
            </w:r>
          </w:p>
        </w:tc>
        <w:tc>
          <w:tcPr>
            <w:tcW w:w="1701" w:type="dxa"/>
            <w:vAlign w:val="center"/>
          </w:tcPr>
          <w:p w14:paraId="71068DD6" w14:textId="162A03C4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D11BBD3" w14:textId="77777777" w:rsidTr="0029746A">
        <w:tc>
          <w:tcPr>
            <w:tcW w:w="851" w:type="dxa"/>
            <w:vAlign w:val="center"/>
          </w:tcPr>
          <w:p w14:paraId="0EE7965F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808091" w14:textId="23C5A645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min.  19 profili, pozwalających na wybranie konkretnej konfiguracji pompy i biblioteki leków, dodatkowo 1 profil podstawowy</w:t>
            </w:r>
          </w:p>
        </w:tc>
        <w:tc>
          <w:tcPr>
            <w:tcW w:w="1701" w:type="dxa"/>
            <w:vAlign w:val="center"/>
          </w:tcPr>
          <w:p w14:paraId="0DD13483" w14:textId="64DF467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A910667" w14:textId="77777777" w:rsidTr="0029746A">
        <w:tc>
          <w:tcPr>
            <w:tcW w:w="851" w:type="dxa"/>
            <w:vAlign w:val="center"/>
          </w:tcPr>
          <w:p w14:paraId="0C5F88C3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80E6506" w14:textId="70886D25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Uchwyt mocowania pompy do rury pionowej, kolumny lub poziomej szyny oraz rączka do przenoszenia na stałe wbudowane w pompę. Mocowanie pompy do statywów oraz stacji dokujących nie wymaga odłączania lub dołączania uchwytu mocującego lub jakichkolwiek innych części.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Wszechstronny zacisk zainstalowany na stałe z pompą, pozwalający na zamontowanie na poręczy lub stojaku. </w:t>
            </w:r>
          </w:p>
        </w:tc>
        <w:tc>
          <w:tcPr>
            <w:tcW w:w="1701" w:type="dxa"/>
            <w:vAlign w:val="center"/>
          </w:tcPr>
          <w:p w14:paraId="6B467C41" w14:textId="649E9838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E47505C" w14:textId="77777777" w:rsidTr="0029746A">
        <w:tc>
          <w:tcPr>
            <w:tcW w:w="851" w:type="dxa"/>
            <w:vAlign w:val="center"/>
          </w:tcPr>
          <w:p w14:paraId="48AF571D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9ADC822" w14:textId="3CD01A9B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Mocowanie strzykawki do czoła pompy, cała strzykawka stale widoczna podczas pracy pompy z pełną swobodą odczytania objętości ze skali strzykawki oraz możliwością wizualnej kontroli infuzji</w:t>
            </w:r>
          </w:p>
        </w:tc>
        <w:tc>
          <w:tcPr>
            <w:tcW w:w="1701" w:type="dxa"/>
            <w:vAlign w:val="center"/>
          </w:tcPr>
          <w:p w14:paraId="6AE37699" w14:textId="3342928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AA16408" w14:textId="77777777" w:rsidTr="0029746A">
        <w:tc>
          <w:tcPr>
            <w:tcW w:w="851" w:type="dxa"/>
            <w:vAlign w:val="center"/>
          </w:tcPr>
          <w:p w14:paraId="50BA970B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1416195" w14:textId="16997105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Mocowanie strzykawki możliwe zarówno przy włączonej jak i wyłączonej pompie – system obsługiwany całkowicie manualnie</w:t>
            </w:r>
          </w:p>
        </w:tc>
        <w:tc>
          <w:tcPr>
            <w:tcW w:w="1701" w:type="dxa"/>
            <w:vAlign w:val="center"/>
          </w:tcPr>
          <w:p w14:paraId="644949C6" w14:textId="1BFB49D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BD83ED1" w14:textId="77777777" w:rsidTr="0029746A">
        <w:tc>
          <w:tcPr>
            <w:tcW w:w="851" w:type="dxa"/>
            <w:vAlign w:val="center"/>
          </w:tcPr>
          <w:p w14:paraId="3C87489E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F9BAB4" w14:textId="179195F3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Osłona tłoka strzykawki uniemożliwiająca wciśnięcie tłoka strzykawki zamontowanej w pompie.</w:t>
            </w:r>
          </w:p>
        </w:tc>
        <w:tc>
          <w:tcPr>
            <w:tcW w:w="1701" w:type="dxa"/>
            <w:vAlign w:val="center"/>
          </w:tcPr>
          <w:p w14:paraId="037C550D" w14:textId="124D657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51A4127" w14:textId="77777777" w:rsidTr="0029746A">
        <w:tc>
          <w:tcPr>
            <w:tcW w:w="851" w:type="dxa"/>
            <w:vAlign w:val="center"/>
          </w:tcPr>
          <w:p w14:paraId="01EEA1F6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AC7F92A" w14:textId="4732498B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Manualny tłok. Zabezpieczenie przed przypadkowym podaniem leku (bolusa) podczas zakładania lub wymiany strzykawki</w:t>
            </w:r>
          </w:p>
        </w:tc>
        <w:tc>
          <w:tcPr>
            <w:tcW w:w="1701" w:type="dxa"/>
            <w:vAlign w:val="center"/>
          </w:tcPr>
          <w:p w14:paraId="24AE8CD7" w14:textId="3E39AF2A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F5C687B" w14:textId="77777777" w:rsidTr="0029746A">
        <w:tc>
          <w:tcPr>
            <w:tcW w:w="851" w:type="dxa"/>
            <w:vAlign w:val="center"/>
          </w:tcPr>
          <w:p w14:paraId="1B424EA3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CF720B" w14:textId="6F3C3129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Pompa skalibrowana do pracy ze strzykawkami o objętości 5/6, 10/12, 20, 30/35 i 50/60 ml różnych typów oraz różnych producentów</w:t>
            </w:r>
          </w:p>
        </w:tc>
        <w:tc>
          <w:tcPr>
            <w:tcW w:w="1701" w:type="dxa"/>
            <w:vAlign w:val="center"/>
          </w:tcPr>
          <w:p w14:paraId="0656FDFF" w14:textId="4601B58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4FF6A7A" w14:textId="77777777" w:rsidTr="0029746A">
        <w:tc>
          <w:tcPr>
            <w:tcW w:w="851" w:type="dxa"/>
            <w:vAlign w:val="center"/>
          </w:tcPr>
          <w:p w14:paraId="17214354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2209EBE" w14:textId="21319D80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Automatyczna funkcja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antybolus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po okluzji – zabezpieczenie przed podaniem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lastRenderedPageBreak/>
              <w:t>niekontrolowanego bolusa po alarmie okluzji, ograniczenie bolusa ma</w:t>
            </w:r>
            <w:r w:rsidR="00B50A5C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ks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.</w:t>
            </w:r>
            <w:r w:rsidR="00705F4F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0,35ml</w:t>
            </w:r>
          </w:p>
        </w:tc>
        <w:tc>
          <w:tcPr>
            <w:tcW w:w="1701" w:type="dxa"/>
            <w:vAlign w:val="center"/>
          </w:tcPr>
          <w:p w14:paraId="6876C5D3" w14:textId="4A9EAD27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7E4D4749" w14:textId="77777777" w:rsidTr="0029746A">
        <w:tc>
          <w:tcPr>
            <w:tcW w:w="851" w:type="dxa"/>
            <w:vAlign w:val="center"/>
          </w:tcPr>
          <w:p w14:paraId="20919AA3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CE62C9F" w14:textId="421662CC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Zakres szybkości infuzji od  0,1 do 1200 ml/godz.</w:t>
            </w:r>
          </w:p>
        </w:tc>
        <w:tc>
          <w:tcPr>
            <w:tcW w:w="1701" w:type="dxa"/>
            <w:vAlign w:val="center"/>
          </w:tcPr>
          <w:p w14:paraId="754A7539" w14:textId="44657D38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3DEC124" w14:textId="77777777" w:rsidTr="0029746A">
        <w:tc>
          <w:tcPr>
            <w:tcW w:w="851" w:type="dxa"/>
            <w:vAlign w:val="center"/>
          </w:tcPr>
          <w:p w14:paraId="75B4BDBE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1E0168A" w14:textId="02B53659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Funkcja programowania infuzji: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a) co 0,01 w zakresie od 0,1 do 9,99 ml/ godz. 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b) co 0,1 w zakresie od   10 do 99,9 ml/h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c) co 1 w zakresie 100-1200ml/h</w:t>
            </w:r>
          </w:p>
        </w:tc>
        <w:tc>
          <w:tcPr>
            <w:tcW w:w="1701" w:type="dxa"/>
            <w:vAlign w:val="center"/>
          </w:tcPr>
          <w:p w14:paraId="7CCD70FD" w14:textId="0481B53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EEC3C8B" w14:textId="77777777" w:rsidTr="0029746A">
        <w:tc>
          <w:tcPr>
            <w:tcW w:w="851" w:type="dxa"/>
            <w:vAlign w:val="center"/>
          </w:tcPr>
          <w:p w14:paraId="53A46881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4A0250" w14:textId="60007226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Funkcja </w:t>
            </w:r>
            <w:r w:rsidR="00705F4F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„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szybkiego startu</w:t>
            </w:r>
            <w:r w:rsidR="00705F4F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”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umożliwiająca skrócenie czasu opóźnienia rozpoczęcia terapii, jeśli funkcja napełniania pompy nie jest używana.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 xml:space="preserve">Przy tej funkcji infuzja rozpoczyna się z wysoką prędkością przepływu (120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mL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/h) i trwa do momentu, gdy popychacz zaczyna przesuwać głowicę tłoka strzykawki - prędkość przepływu automatycznie przestawia się na zaprogramowaną wartość.</w:t>
            </w:r>
          </w:p>
        </w:tc>
        <w:tc>
          <w:tcPr>
            <w:tcW w:w="1701" w:type="dxa"/>
            <w:vAlign w:val="center"/>
          </w:tcPr>
          <w:p w14:paraId="6347B504" w14:textId="7F110F8F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A89EE4A" w14:textId="77777777" w:rsidTr="0029746A">
        <w:tc>
          <w:tcPr>
            <w:tcW w:w="851" w:type="dxa"/>
            <w:vAlign w:val="center"/>
          </w:tcPr>
          <w:p w14:paraId="27DB89D9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440C25" w14:textId="3C426653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Dokładność szybkości przepływu co najmniej 3 %</w:t>
            </w:r>
          </w:p>
        </w:tc>
        <w:tc>
          <w:tcPr>
            <w:tcW w:w="1701" w:type="dxa"/>
            <w:vAlign w:val="center"/>
          </w:tcPr>
          <w:p w14:paraId="4992B7C4" w14:textId="4C8EDD54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BD88577" w14:textId="77777777" w:rsidTr="0029746A">
        <w:tc>
          <w:tcPr>
            <w:tcW w:w="851" w:type="dxa"/>
            <w:vAlign w:val="center"/>
          </w:tcPr>
          <w:p w14:paraId="78877840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01D3A9F" w14:textId="3EAB65BD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Zmiana szybkości infuzji bez konieczności przerywania wlewu</w:t>
            </w:r>
          </w:p>
        </w:tc>
        <w:tc>
          <w:tcPr>
            <w:tcW w:w="1701" w:type="dxa"/>
            <w:vAlign w:val="center"/>
          </w:tcPr>
          <w:p w14:paraId="7C5E938A" w14:textId="1FCDCD70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68D2A09" w14:textId="77777777" w:rsidTr="0029746A">
        <w:tc>
          <w:tcPr>
            <w:tcW w:w="851" w:type="dxa"/>
            <w:vAlign w:val="center"/>
          </w:tcPr>
          <w:p w14:paraId="5C84F98D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666F76" w14:textId="506AE943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Programowanie infuzji w jednostkach na minutę, godzinę, wagę i powierzchnię</w:t>
            </w:r>
          </w:p>
        </w:tc>
        <w:tc>
          <w:tcPr>
            <w:tcW w:w="1701" w:type="dxa"/>
            <w:vAlign w:val="center"/>
          </w:tcPr>
          <w:p w14:paraId="18CEE886" w14:textId="354F071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9D71091" w14:textId="77777777" w:rsidTr="0029746A">
        <w:tc>
          <w:tcPr>
            <w:tcW w:w="851" w:type="dxa"/>
            <w:vAlign w:val="center"/>
          </w:tcPr>
          <w:p w14:paraId="10925498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C3FCF8" w14:textId="1904B893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Dostępne opcje przeliczania - powierzchni ciała pacjenta w m² w zakresie od 0,05 m² do 4,5 m², minimalny przyrost 0,01m²  oraz wagi, w zakresie od 0,25 do 350 kg z dostępną regulacją co 10 gramów</w:t>
            </w:r>
          </w:p>
        </w:tc>
        <w:tc>
          <w:tcPr>
            <w:tcW w:w="1701" w:type="dxa"/>
            <w:vAlign w:val="center"/>
          </w:tcPr>
          <w:p w14:paraId="71CCA74F" w14:textId="33CF1F06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A8A02D6" w14:textId="77777777" w:rsidTr="0029746A">
        <w:tc>
          <w:tcPr>
            <w:tcW w:w="851" w:type="dxa"/>
            <w:vAlign w:val="center"/>
          </w:tcPr>
          <w:p w14:paraId="3AA34246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B9CBEEE" w14:textId="54F15AD2" w:rsidR="005229A9" w:rsidRPr="00026529" w:rsidRDefault="005229A9" w:rsidP="005229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Funkcja podawania bolusa:</w:t>
            </w:r>
          </w:p>
          <w:p w14:paraId="4755B921" w14:textId="7DD20D52" w:rsidR="005229A9" w:rsidRPr="00026529" w:rsidRDefault="005229A9" w:rsidP="005229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a) na żądanie bez konieczności przerywania trwającej infuzji,</w:t>
            </w:r>
          </w:p>
          <w:p w14:paraId="3EAC0CD1" w14:textId="4575744C" w:rsidR="005229A9" w:rsidRPr="00026529" w:rsidRDefault="005229A9" w:rsidP="005229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b) co najmniej dwa tryby podania bolusa,</w:t>
            </w:r>
          </w:p>
          <w:p w14:paraId="243248BB" w14:textId="0CA993DC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c) ręczne przesunięcie tłoka strzykawki z jednoczesnym zliczaniem i prezentacją podanej objętości na ekranie.</w:t>
            </w:r>
          </w:p>
        </w:tc>
        <w:tc>
          <w:tcPr>
            <w:tcW w:w="1701" w:type="dxa"/>
            <w:vAlign w:val="center"/>
          </w:tcPr>
          <w:p w14:paraId="381CE47B" w14:textId="2BE5E8B8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8E0C404" w14:textId="77777777" w:rsidTr="0029746A">
        <w:tc>
          <w:tcPr>
            <w:tcW w:w="851" w:type="dxa"/>
            <w:vAlign w:val="center"/>
          </w:tcPr>
          <w:p w14:paraId="3B9B82F7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7FC128C" w14:textId="35ABE5D6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Bolus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• Bolus bezpośredni: od 50 do 1200 ml/h (co 50 ml/h)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• Bolus programowany i dawka nasycająca: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- Objętość: od 0,1 do 99,9 ml / 1 s - 24 h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- Dawka: od 0,01 do 9999 jednostek dawki / 1 s - 24 h</w:t>
            </w:r>
          </w:p>
        </w:tc>
        <w:tc>
          <w:tcPr>
            <w:tcW w:w="1701" w:type="dxa"/>
            <w:vAlign w:val="center"/>
          </w:tcPr>
          <w:p w14:paraId="7C60765F" w14:textId="2E1DB5E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7B728AF" w14:textId="77777777" w:rsidTr="0029746A">
        <w:tc>
          <w:tcPr>
            <w:tcW w:w="851" w:type="dxa"/>
            <w:vAlign w:val="center"/>
          </w:tcPr>
          <w:p w14:paraId="11CCACEA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E9D0030" w14:textId="77777777" w:rsidR="005229A9" w:rsidRDefault="005229A9" w:rsidP="005229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Dawka nasycająca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Dawka/czas: od 0,01 do 9999 jedn. / 1 sekundę – 24 h. </w:t>
            </w:r>
          </w:p>
          <w:p w14:paraId="74125037" w14:textId="081CE2D2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Automatyczne obliczanie szybkości.</w:t>
            </w:r>
          </w:p>
        </w:tc>
        <w:tc>
          <w:tcPr>
            <w:tcW w:w="1701" w:type="dxa"/>
            <w:vAlign w:val="center"/>
          </w:tcPr>
          <w:p w14:paraId="7D9C4B8F" w14:textId="44D76D2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E458E3B" w14:textId="77777777" w:rsidTr="0029746A">
        <w:tc>
          <w:tcPr>
            <w:tcW w:w="851" w:type="dxa"/>
            <w:vAlign w:val="center"/>
          </w:tcPr>
          <w:p w14:paraId="18A0635F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C10E3EA" w14:textId="57363A4D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Objętość do podania / dawka wlewu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Objętość: od 0,1 do 999 ml / Dawka: od 0,01 do 9999 jednostek dawki</w:t>
            </w:r>
          </w:p>
        </w:tc>
        <w:tc>
          <w:tcPr>
            <w:tcW w:w="1701" w:type="dxa"/>
            <w:vAlign w:val="center"/>
          </w:tcPr>
          <w:p w14:paraId="0F046EE3" w14:textId="17843B88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81EBD01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1A5B3D4" w14:textId="77777777" w:rsidTr="0029746A">
        <w:tc>
          <w:tcPr>
            <w:tcW w:w="851" w:type="dxa"/>
            <w:vAlign w:val="center"/>
          </w:tcPr>
          <w:p w14:paraId="1D6E301F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738E211" w14:textId="566775A9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Napełnianie: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3 tryby: obowiązkowy, nieobowiązkowy, zalecany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Szybkość przepływu: od 250 do 1200 ml/h, w zależności od pojemności strzykawki</w:t>
            </w:r>
          </w:p>
        </w:tc>
        <w:tc>
          <w:tcPr>
            <w:tcW w:w="1701" w:type="dxa"/>
            <w:vAlign w:val="center"/>
          </w:tcPr>
          <w:p w14:paraId="4C45609F" w14:textId="46EC7E4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88151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97CE2F4" w14:textId="77777777" w:rsidTr="0029746A">
        <w:tc>
          <w:tcPr>
            <w:tcW w:w="851" w:type="dxa"/>
            <w:vAlign w:val="center"/>
          </w:tcPr>
          <w:p w14:paraId="6CF096B7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D2EE5A" w14:textId="7C04ACA0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Urządzenie umożliwiające prowadzenie terapii infuzyjnej z wykorzystaniem różnych trybów pracy, w tym: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 xml:space="preserve">a) Tryb objętościowy: możliwość ustawienia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lastRenderedPageBreak/>
              <w:t>szybkości infuzji w jednostkach ml/h,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b) Tryb dawkowania z przeliczeniami jednostek masy/czasu, w tym co najmniej: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μg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/min, mg/min,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mUnit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/min, Unit/min,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mEq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/min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897758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ng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/h,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μg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/h, mg/h, g/h,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mmol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/h, Unit/h, kcal/h,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mEq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/h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mg/24h, kcal/24h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ng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/kg/h,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μg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/kg/h, mg/kg/h, g/kg/h,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mUnit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/kg/h, Unit/kg/h,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mEq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/kg/h, ml/kg/h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897758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mg/m²/h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897758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mg/kg/24h, g/kg/24h,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mmol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/kg/24h, ml/kg/24h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</w:r>
            <w:r w:rsidR="00897758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897758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mg/m²/24h (inne jednostki możliwe zgodnie z protokołem leczniczym)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c) Możliwość ustawienia rozcieńczenia: w formacie jednostki/ml lub jednostki/objętość,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d) Możliwość prowadzenia infuzji z dawką nasycającą lub bez,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e) Tryb objętość/czas: możliwość zaprogramowania objętości od 0,1 do 99,9 ml oraz czasu infuzji w zakresie od 1 minuty do 96 godzin,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f) Tryb dawka/czas: możliwość zaprogramowania dawki w zakresie od 0,01 do 9999 jednostek oraz czasu infuzji od 1 minuty do 96 godzin,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g) Możliwość ustawienia limitu objętości: od 0,1 ml do co najmniej 999 ml.</w:t>
            </w:r>
          </w:p>
        </w:tc>
        <w:tc>
          <w:tcPr>
            <w:tcW w:w="1701" w:type="dxa"/>
            <w:vAlign w:val="center"/>
          </w:tcPr>
          <w:p w14:paraId="0B0EE6EA" w14:textId="79B4B078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55BD47EB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3E530094" w14:textId="77777777" w:rsidTr="0029746A">
        <w:tc>
          <w:tcPr>
            <w:tcW w:w="851" w:type="dxa"/>
            <w:vAlign w:val="center"/>
          </w:tcPr>
          <w:p w14:paraId="271B89A7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67C8B6E" w14:textId="3458E812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System 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antybolusowy</w:t>
            </w:r>
            <w:proofErr w:type="spellEnd"/>
            <w:r w:rsidR="00705F4F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ograniczający podanie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leku w bolusie po otwarciu przewodu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≤0,35 ml maks. dla strzykawki 50 ml</w:t>
            </w:r>
          </w:p>
        </w:tc>
        <w:tc>
          <w:tcPr>
            <w:tcW w:w="1701" w:type="dxa"/>
            <w:vAlign w:val="center"/>
          </w:tcPr>
          <w:p w14:paraId="52FDEAE7" w14:textId="23E2ED85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22987FE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37FE298A" w14:textId="77777777" w:rsidTr="0029746A">
        <w:tc>
          <w:tcPr>
            <w:tcW w:w="851" w:type="dxa"/>
            <w:vAlign w:val="center"/>
          </w:tcPr>
          <w:p w14:paraId="1149F76C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DA5B2EA" w14:textId="101CD77C" w:rsidR="005229A9" w:rsidRPr="004F4563" w:rsidRDefault="00E816AA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E816AA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Urządzenie wyposażone w system monitorowania zmian ciśnienia w linii infuzyjnej w czasie rzeczywistym, z funkcją ostrzegania o niepożądanych zmianach ciśnienia</w:t>
            </w:r>
          </w:p>
        </w:tc>
        <w:tc>
          <w:tcPr>
            <w:tcW w:w="1701" w:type="dxa"/>
            <w:vAlign w:val="center"/>
          </w:tcPr>
          <w:p w14:paraId="38CD9C31" w14:textId="53BEDFF5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D3C8CAB" w14:textId="77777777" w:rsidTr="0029746A">
        <w:tc>
          <w:tcPr>
            <w:tcW w:w="851" w:type="dxa"/>
            <w:vAlign w:val="center"/>
          </w:tcPr>
          <w:p w14:paraId="2C8C5FB6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0409506" w14:textId="6EA8C2DA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Tryby ciśnienia: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a) Praca w trybie zmiennym lub z wyborem trzech wcześniej zdefiniowanych poziomów ciśnienia, w zakresie od 50 do 900 mmHg, z regulacją co najmniej: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– co 25 mmHg w zakresie 50–250 mmHg,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– co 50 mmHg w zakresie 250–900 mmHg,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lub równoważną, ciągłą regulacją w zakresie 50–900 mmHg.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b) Pompa wyposażona w dynamiczny system monitorowania ciśnienia, 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s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trzegający o jego zmianach i potencjalnym ryzyku okluzji lub nieszczelności układu infuzyjnego</w:t>
            </w:r>
          </w:p>
        </w:tc>
        <w:tc>
          <w:tcPr>
            <w:tcW w:w="1701" w:type="dxa"/>
            <w:vAlign w:val="center"/>
          </w:tcPr>
          <w:p w14:paraId="68A1BABA" w14:textId="5CA28F45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857093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EDE021C" w14:textId="77777777" w:rsidTr="0029746A">
        <w:tc>
          <w:tcPr>
            <w:tcW w:w="851" w:type="dxa"/>
            <w:vAlign w:val="center"/>
          </w:tcPr>
          <w:p w14:paraId="76ED7115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E18213A" w14:textId="283C40C2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Ciągły pomiar ciśnienia w linii zobrazowany  w postaci piktogramu na ekranie pompy.</w:t>
            </w:r>
          </w:p>
        </w:tc>
        <w:tc>
          <w:tcPr>
            <w:tcW w:w="1701" w:type="dxa"/>
            <w:vAlign w:val="center"/>
          </w:tcPr>
          <w:p w14:paraId="4EBF6571" w14:textId="635F3F07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A382CF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FEC81E4" w14:textId="77777777" w:rsidTr="0029746A">
        <w:tc>
          <w:tcPr>
            <w:tcW w:w="851" w:type="dxa"/>
            <w:vAlign w:val="center"/>
          </w:tcPr>
          <w:p w14:paraId="0603CDE2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A8D0940" w14:textId="4EBD7A4E" w:rsidR="005229A9" w:rsidRPr="00026529" w:rsidRDefault="005229A9" w:rsidP="005229A9">
            <w:pPr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Poziom ciśnienia okluzji: </w:t>
            </w:r>
          </w:p>
          <w:p w14:paraId="7FA8AD9E" w14:textId="764BE660" w:rsidR="005229A9" w:rsidRPr="00026529" w:rsidRDefault="00F304E5" w:rsidP="005229A9">
            <w:pPr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5229A9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min. 22 poziomy,  </w:t>
            </w:r>
          </w:p>
          <w:p w14:paraId="5AFE052E" w14:textId="648D956A" w:rsidR="005229A9" w:rsidRPr="004F4563" w:rsidRDefault="00F304E5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5229A9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min. 3 jednostki do wyboru – mmHg, </w:t>
            </w:r>
            <w:proofErr w:type="spellStart"/>
            <w:r w:rsidR="005229A9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kPa</w:t>
            </w:r>
            <w:proofErr w:type="spellEnd"/>
            <w:r w:rsidR="005229A9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, PSI</w:t>
            </w:r>
          </w:p>
        </w:tc>
        <w:tc>
          <w:tcPr>
            <w:tcW w:w="1701" w:type="dxa"/>
            <w:vAlign w:val="center"/>
          </w:tcPr>
          <w:p w14:paraId="5E19AABF" w14:textId="5801DE2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9B856F4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BD16662" w14:textId="77777777" w:rsidTr="0029746A">
        <w:tc>
          <w:tcPr>
            <w:tcW w:w="851" w:type="dxa"/>
            <w:vAlign w:val="center"/>
          </w:tcPr>
          <w:p w14:paraId="15A4B2FF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73B0F5" w14:textId="40CEC25D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Monochromatyczny, graficzny wyświetlacz LCD o wymiarach minimum 70 mm × 35 mm.</w:t>
            </w:r>
          </w:p>
        </w:tc>
        <w:tc>
          <w:tcPr>
            <w:tcW w:w="1701" w:type="dxa"/>
            <w:vAlign w:val="center"/>
          </w:tcPr>
          <w:p w14:paraId="73589C6A" w14:textId="5AB3C273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B4A80A4" w14:textId="77777777" w:rsidTr="0029746A">
        <w:tc>
          <w:tcPr>
            <w:tcW w:w="851" w:type="dxa"/>
            <w:vAlign w:val="center"/>
          </w:tcPr>
          <w:p w14:paraId="4B518A2E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2ED29E" w14:textId="57033B02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Rejestr mogący pomieścić  do 1500 zdarzeń</w:t>
            </w:r>
          </w:p>
        </w:tc>
        <w:tc>
          <w:tcPr>
            <w:tcW w:w="1701" w:type="dxa"/>
            <w:vAlign w:val="center"/>
          </w:tcPr>
          <w:p w14:paraId="2952AAF3" w14:textId="3D379889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37504EA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B85DE93" w14:textId="77777777" w:rsidTr="0029746A">
        <w:tc>
          <w:tcPr>
            <w:tcW w:w="851" w:type="dxa"/>
            <w:vAlign w:val="center"/>
          </w:tcPr>
          <w:p w14:paraId="1435E22E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1FB91AC" w14:textId="77777777" w:rsidR="005229A9" w:rsidRPr="00026529" w:rsidRDefault="005229A9" w:rsidP="005229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Rejestr zdarzeń i historia pracy urządzenia:</w:t>
            </w:r>
          </w:p>
          <w:p w14:paraId="7232C6F0" w14:textId="2DC3E6B5" w:rsidR="005229A9" w:rsidRPr="004F4563" w:rsidRDefault="005229A9" w:rsidP="00F304E5">
            <w:pPr>
              <w:tabs>
                <w:tab w:val="left" w:pos="175"/>
              </w:tabs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a) Urządzenie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musi przechowywać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plik rejestru (historię podań, zdarzeń i interakcji operatora) w pamięci wewnętrznej przez minimum 10 lat od momentu zapisu, niezależnie od stanu zasilania lub pracy akumulatora,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b) Historia pracy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musi być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dostępna w formie graficznej na ekranie urządzenia 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 musi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obejm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ować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co najmniej następujące dane: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="00F304E5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F304E5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objętość/dawkę infuzji,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="00F304E5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="00F304E5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ciśnienie w układzie infuzyjnym,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</w:r>
            <w:r w:rsidR="00F304E5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–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szybkość przepływu leku,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c) Dane prezentowane w sposób umożliwiający ich analizę przez personel medyczny.</w:t>
            </w:r>
          </w:p>
        </w:tc>
        <w:tc>
          <w:tcPr>
            <w:tcW w:w="1701" w:type="dxa"/>
            <w:vAlign w:val="center"/>
          </w:tcPr>
          <w:p w14:paraId="2106E94A" w14:textId="18E382AF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30785A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C19F8EC" w14:textId="77777777" w:rsidTr="0029746A">
        <w:tc>
          <w:tcPr>
            <w:tcW w:w="851" w:type="dxa"/>
            <w:vAlign w:val="center"/>
          </w:tcPr>
          <w:p w14:paraId="5760AB2D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293CC64" w14:textId="57AA8668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Funkcja KVO - Zróżnicowana prędkość KVO z możliwością programowania szybkości od 0,1 do 5 ml/h</w:t>
            </w:r>
          </w:p>
        </w:tc>
        <w:tc>
          <w:tcPr>
            <w:tcW w:w="1701" w:type="dxa"/>
            <w:vAlign w:val="center"/>
          </w:tcPr>
          <w:p w14:paraId="6B14F982" w14:textId="6B192EEA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EB4E09F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4DE38266" w14:textId="77777777" w:rsidTr="0029746A">
        <w:tc>
          <w:tcPr>
            <w:tcW w:w="851" w:type="dxa"/>
            <w:vAlign w:val="center"/>
          </w:tcPr>
          <w:p w14:paraId="2B6F4250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64FC2F6" w14:textId="7D3B3CCE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Sygnalizacja wahań ciśnienia w linii</w:t>
            </w:r>
          </w:p>
        </w:tc>
        <w:tc>
          <w:tcPr>
            <w:tcW w:w="1701" w:type="dxa"/>
            <w:vAlign w:val="center"/>
          </w:tcPr>
          <w:p w14:paraId="1CF757A6" w14:textId="4029C1D1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7EA2D95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0450174F" w14:textId="77777777" w:rsidTr="0029746A">
        <w:tc>
          <w:tcPr>
            <w:tcW w:w="851" w:type="dxa"/>
            <w:vAlign w:val="center"/>
          </w:tcPr>
          <w:p w14:paraId="2C0E51A8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C5F6243" w14:textId="64989E26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Funkcja – przerwa (</w:t>
            </w:r>
            <w:proofErr w:type="spellStart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standby</w:t>
            </w:r>
            <w:proofErr w:type="spellEnd"/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) w zakresie od 1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min do 24 godzin programowany co 1 minutę z funkcją automatycznego startu infuzji po zaprogramowanej przerwie</w:t>
            </w:r>
          </w:p>
        </w:tc>
        <w:tc>
          <w:tcPr>
            <w:tcW w:w="1701" w:type="dxa"/>
            <w:vAlign w:val="center"/>
          </w:tcPr>
          <w:p w14:paraId="32498214" w14:textId="1CFD3DAE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FF5A8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C16D92E" w14:textId="77777777" w:rsidTr="0029746A">
        <w:tc>
          <w:tcPr>
            <w:tcW w:w="851" w:type="dxa"/>
            <w:vAlign w:val="center"/>
          </w:tcPr>
          <w:p w14:paraId="0F9AED0C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5849371" w14:textId="4DF806A0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Urządzenie wyposażone w tryb dzienny i nocny z opcją przełączania między trybami ręcznie i automatycznie</w:t>
            </w:r>
          </w:p>
        </w:tc>
        <w:tc>
          <w:tcPr>
            <w:tcW w:w="1701" w:type="dxa"/>
            <w:vAlign w:val="center"/>
          </w:tcPr>
          <w:p w14:paraId="0A1924BB" w14:textId="3A33EC04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A2C2C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08E0A5A" w14:textId="77777777" w:rsidTr="0029746A">
        <w:tc>
          <w:tcPr>
            <w:tcW w:w="851" w:type="dxa"/>
            <w:vAlign w:val="center"/>
          </w:tcPr>
          <w:p w14:paraId="73969CD7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0BD552" w14:textId="37086B60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Komunikaty tekstowe w języku polskim</w:t>
            </w:r>
          </w:p>
        </w:tc>
        <w:tc>
          <w:tcPr>
            <w:tcW w:w="1701" w:type="dxa"/>
            <w:vAlign w:val="center"/>
          </w:tcPr>
          <w:p w14:paraId="05039651" w14:textId="74F22AF2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5AA47B6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2D71965C" w14:textId="77777777" w:rsidTr="0029746A">
        <w:tc>
          <w:tcPr>
            <w:tcW w:w="851" w:type="dxa"/>
            <w:vAlign w:val="center"/>
          </w:tcPr>
          <w:p w14:paraId="042FF4A4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EC8F82B" w14:textId="590C114C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Wyświetlanie trendów objętości, szybkości infuzji oraz ciśnienia</w:t>
            </w:r>
          </w:p>
        </w:tc>
        <w:tc>
          <w:tcPr>
            <w:tcW w:w="1701" w:type="dxa"/>
            <w:vAlign w:val="center"/>
          </w:tcPr>
          <w:p w14:paraId="3EE55320" w14:textId="0966696C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EB2D3BB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54729FF" w14:textId="77777777" w:rsidTr="0029746A">
        <w:tc>
          <w:tcPr>
            <w:tcW w:w="851" w:type="dxa"/>
            <w:vAlign w:val="center"/>
          </w:tcPr>
          <w:p w14:paraId="79A210C6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6A7576" w14:textId="3838D25C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Urządzenie </w:t>
            </w:r>
            <w:r w:rsidR="0029746A"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wyposażone w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funkcję pozwalającą na konfigurację ustawień oraz zawartości menu użytkownika w sposób dostosowany do jego potrzeb.</w:t>
            </w:r>
          </w:p>
        </w:tc>
        <w:tc>
          <w:tcPr>
            <w:tcW w:w="1701" w:type="dxa"/>
            <w:vAlign w:val="center"/>
          </w:tcPr>
          <w:p w14:paraId="642921AE" w14:textId="38E7101A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FE0D0B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54AB6589" w14:textId="77777777" w:rsidTr="0029746A">
        <w:tc>
          <w:tcPr>
            <w:tcW w:w="851" w:type="dxa"/>
            <w:vAlign w:val="center"/>
          </w:tcPr>
          <w:p w14:paraId="76231504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AEA448C" w14:textId="1119EBC2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Biblioteka leków, do 150 leków w min. 19 profilach wraz z protokołami infuzji (domyślne przepływy, dawki, prędkości bolusa, stężenia itp.)</w:t>
            </w:r>
          </w:p>
        </w:tc>
        <w:tc>
          <w:tcPr>
            <w:tcW w:w="1701" w:type="dxa"/>
            <w:vAlign w:val="center"/>
          </w:tcPr>
          <w:p w14:paraId="48547FB5" w14:textId="1361944F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CB41C37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3AD669B0" w14:textId="77777777" w:rsidTr="0029746A">
        <w:tc>
          <w:tcPr>
            <w:tcW w:w="851" w:type="dxa"/>
            <w:vAlign w:val="center"/>
          </w:tcPr>
          <w:p w14:paraId="4E6326D7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CD5D96D" w14:textId="2A7631FE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Sygnalizacja statusu pracy urządzenia: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a) Status pracy pompy sygnalizowany z wykorzystaniem wskaźników świetlnych w odrębnych kolorach, umożliwiających odróżnienie różnych stanów pracy: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– kolor zielony – trwająca infuzja,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– kolor pomarańczowy – alarmy o niskim i średnim priorytecie,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– kolor czerwony – alarmy o wysokim priorytecie;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wskaźniki świetlne widoczne z odległości co najmniej 4 metrów.</w:t>
            </w:r>
            <w:r w:rsidRPr="0002652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br/>
              <w:t>b) Wszystkie alarmy sygnalizowane są za pomocą wskaźników świetlnych, komunikatów tekstowych, piktogramów oraz sygnałów dźwiękowych.</w:t>
            </w:r>
          </w:p>
        </w:tc>
        <w:tc>
          <w:tcPr>
            <w:tcW w:w="1701" w:type="dxa"/>
            <w:vAlign w:val="center"/>
          </w:tcPr>
          <w:p w14:paraId="430303D6" w14:textId="21834C87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5B70F64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1710B336" w14:textId="77777777" w:rsidTr="0029746A">
        <w:tc>
          <w:tcPr>
            <w:tcW w:w="851" w:type="dxa"/>
            <w:vAlign w:val="center"/>
          </w:tcPr>
          <w:p w14:paraId="4EA1502A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D8D4330" w14:textId="13689FD0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System alarmowy – akustyczno-optyczny: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 xml:space="preserve">Urządzenie wyposażone w system alarmów i ostrzeżeń sygnalizowanych wizualnie i dźwiękowo, informujący użytkownika o 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lastRenderedPageBreak/>
              <w:t>następujących stanach: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a) zakończenie infuzji / pusta strzykawka,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b) zatrzymana infuzja – przypomnienie,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c) wykrycie okluzji,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d) spadek ciśnienia / rozłączenie linii,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e) niski poziom naładowania akumulatora,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f) brak lub nieprawidłowo założona strzykawka,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g) otwarty uchwyt komory strzykawki,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h) usterka techniczna urządzenia,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i) zbliżające się rozładowanie akumulatora,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j) aktywna blokada klawiatury,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k) brak potwierdzenia rozpoczęcia infuzji,</w:t>
            </w: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br/>
              <w:t>l) zbliżający się koniec infuzji – z możliwością zaprogramowania progu czasowego ostrzeżenia w zakresie od 1 do 30 minut</w:t>
            </w:r>
          </w:p>
        </w:tc>
        <w:tc>
          <w:tcPr>
            <w:tcW w:w="1701" w:type="dxa"/>
            <w:vAlign w:val="center"/>
          </w:tcPr>
          <w:p w14:paraId="4F573971" w14:textId="451BA8DD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604375F2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29A9" w:rsidRPr="004F4563" w14:paraId="661CD6EB" w14:textId="77777777" w:rsidTr="0029746A">
        <w:tc>
          <w:tcPr>
            <w:tcW w:w="851" w:type="dxa"/>
            <w:vAlign w:val="center"/>
          </w:tcPr>
          <w:p w14:paraId="76B7E07A" w14:textId="77777777" w:rsidR="005229A9" w:rsidRPr="004F4563" w:rsidRDefault="005229A9" w:rsidP="005229A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bottom"/>
          </w:tcPr>
          <w:p w14:paraId="072B9B90" w14:textId="2FC7AD6E" w:rsidR="005229A9" w:rsidRPr="004F4563" w:rsidRDefault="005229A9" w:rsidP="005229A9">
            <w:pPr>
              <w:rPr>
                <w:rFonts w:ascii="Calibri" w:hAnsi="Calibri" w:cs="Calibri"/>
                <w:sz w:val="18"/>
                <w:szCs w:val="18"/>
              </w:rPr>
            </w:pPr>
            <w:r w:rsidRPr="000265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Możliwość integracji pomp w moduły w sposób niewymagający dodatkowych zewnętrznych adapterów montażowych</w:t>
            </w:r>
          </w:p>
        </w:tc>
        <w:tc>
          <w:tcPr>
            <w:tcW w:w="1701" w:type="dxa"/>
            <w:vAlign w:val="center"/>
          </w:tcPr>
          <w:p w14:paraId="2EFBA4E0" w14:textId="512A0D9C" w:rsidR="005229A9" w:rsidRPr="004F4563" w:rsidRDefault="005229A9" w:rsidP="005229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96BD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6F0FCBF" w14:textId="77777777" w:rsidR="005229A9" w:rsidRPr="004F4563" w:rsidRDefault="005229A9" w:rsidP="005229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239C" w:rsidRPr="004F4563" w14:paraId="0FE1A9D1" w14:textId="77777777" w:rsidTr="0029746A">
        <w:tc>
          <w:tcPr>
            <w:tcW w:w="851" w:type="dxa"/>
            <w:shd w:val="clear" w:color="auto" w:fill="E8E8E8" w:themeFill="background2"/>
            <w:vAlign w:val="center"/>
          </w:tcPr>
          <w:p w14:paraId="7588D1BE" w14:textId="77777777" w:rsidR="007C239C" w:rsidRPr="004F4563" w:rsidRDefault="007C239C" w:rsidP="007C239C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1CE358AB" w14:textId="772B8F13" w:rsidR="007C239C" w:rsidRPr="004F4563" w:rsidRDefault="007C239C" w:rsidP="007C239C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7C239C" w:rsidRPr="004F4563" w:rsidRDefault="007C239C" w:rsidP="007C239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7C239C" w:rsidRPr="004F4563" w:rsidRDefault="007C239C" w:rsidP="007C239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239C" w:rsidRPr="004F4563" w14:paraId="63E9DF57" w14:textId="77777777" w:rsidTr="0029746A">
        <w:tc>
          <w:tcPr>
            <w:tcW w:w="851" w:type="dxa"/>
            <w:vAlign w:val="center"/>
          </w:tcPr>
          <w:p w14:paraId="5F3C74AA" w14:textId="77777777" w:rsidR="007C239C" w:rsidRPr="004F4563" w:rsidRDefault="007C239C" w:rsidP="007C239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D549160" w14:textId="7848BA05" w:rsidR="007C239C" w:rsidRPr="004F4563" w:rsidRDefault="007C239C" w:rsidP="007C239C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Szkolenie </w:t>
            </w:r>
            <w:r w:rsidR="00F304E5">
              <w:rPr>
                <w:rFonts w:ascii="Calibri" w:hAnsi="Calibri" w:cs="Calibri"/>
                <w:sz w:val="18"/>
                <w:szCs w:val="18"/>
              </w:rPr>
              <w:t xml:space="preserve">przez </w:t>
            </w:r>
            <w:r>
              <w:rPr>
                <w:rFonts w:ascii="Calibri" w:hAnsi="Calibri" w:cs="Calibri"/>
                <w:sz w:val="18"/>
                <w:szCs w:val="18"/>
              </w:rPr>
              <w:t>min. 4 godziny</w:t>
            </w:r>
            <w:r w:rsidR="00F304E5">
              <w:rPr>
                <w:rFonts w:ascii="Calibri" w:hAnsi="Calibri" w:cs="Calibri"/>
                <w:sz w:val="18"/>
                <w:szCs w:val="18"/>
              </w:rPr>
              <w:t xml:space="preserve"> dla min.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4 os</w:t>
            </w:r>
            <w:r w:rsidR="00F304E5">
              <w:rPr>
                <w:rFonts w:ascii="Calibri" w:hAnsi="Calibri" w:cs="Calibri"/>
                <w:sz w:val="18"/>
                <w:szCs w:val="18"/>
              </w:rPr>
              <w:t>ób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261AE882" w:rsidR="007C239C" w:rsidRPr="004F4563" w:rsidRDefault="007871D1" w:rsidP="007C239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7C239C" w:rsidRPr="004F4563" w:rsidRDefault="007C239C" w:rsidP="007C239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239C" w:rsidRPr="004F4563" w14:paraId="19DD3279" w14:textId="77777777" w:rsidTr="0029746A">
        <w:tc>
          <w:tcPr>
            <w:tcW w:w="851" w:type="dxa"/>
            <w:shd w:val="clear" w:color="auto" w:fill="E8E8E8" w:themeFill="background2"/>
            <w:vAlign w:val="center"/>
          </w:tcPr>
          <w:p w14:paraId="7FD336F4" w14:textId="77777777" w:rsidR="007C239C" w:rsidRPr="004F4563" w:rsidRDefault="007C239C" w:rsidP="007C239C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64F03210" w14:textId="28B8B375" w:rsidR="007C239C" w:rsidRPr="004F4563" w:rsidRDefault="007C239C" w:rsidP="007C239C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7C239C" w:rsidRPr="004F4563" w:rsidRDefault="007C239C" w:rsidP="007C239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7C239C" w:rsidRPr="004F4563" w:rsidRDefault="007C239C" w:rsidP="007C239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239C" w:rsidRPr="004F4563" w14:paraId="403CF33C" w14:textId="77777777" w:rsidTr="0029746A">
        <w:tc>
          <w:tcPr>
            <w:tcW w:w="851" w:type="dxa"/>
            <w:vAlign w:val="center"/>
          </w:tcPr>
          <w:p w14:paraId="55E6020E" w14:textId="77777777" w:rsidR="007C239C" w:rsidRPr="004F4563" w:rsidRDefault="007C239C" w:rsidP="007C239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E9B278" w14:textId="3FA0FA46" w:rsidR="007C239C" w:rsidRPr="004F4563" w:rsidRDefault="007C239C" w:rsidP="007C239C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="007871D1">
              <w:rPr>
                <w:rFonts w:ascii="Calibri" w:hAnsi="Calibri" w:cs="Calibri"/>
                <w:sz w:val="18"/>
                <w:szCs w:val="18"/>
              </w:rPr>
              <w:t>36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</w:t>
            </w:r>
            <w:r w:rsidR="007871D1">
              <w:rPr>
                <w:rFonts w:ascii="Calibri" w:hAnsi="Calibri" w:cs="Calibri"/>
                <w:sz w:val="18"/>
                <w:szCs w:val="18"/>
              </w:rPr>
              <w:t>ęcy</w:t>
            </w:r>
          </w:p>
        </w:tc>
        <w:tc>
          <w:tcPr>
            <w:tcW w:w="1701" w:type="dxa"/>
            <w:vAlign w:val="center"/>
          </w:tcPr>
          <w:p w14:paraId="67708833" w14:textId="17DBE236" w:rsidR="007C239C" w:rsidRPr="004F4563" w:rsidRDefault="007871D1" w:rsidP="007C239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7C239C" w:rsidRPr="004F4563" w:rsidRDefault="007C239C" w:rsidP="007C239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2DDA6" w14:textId="77777777" w:rsidR="00A878BA" w:rsidRDefault="00A878BA" w:rsidP="0067003B">
      <w:pPr>
        <w:spacing w:line="240" w:lineRule="auto"/>
      </w:pPr>
      <w:r>
        <w:separator/>
      </w:r>
    </w:p>
  </w:endnote>
  <w:endnote w:type="continuationSeparator" w:id="0">
    <w:p w14:paraId="1E669C94" w14:textId="77777777" w:rsidR="00A878BA" w:rsidRDefault="00A878BA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72035" w14:textId="77777777" w:rsidR="00A878BA" w:rsidRDefault="00A878BA" w:rsidP="0067003B">
      <w:pPr>
        <w:spacing w:line="240" w:lineRule="auto"/>
      </w:pPr>
      <w:r>
        <w:separator/>
      </w:r>
    </w:p>
  </w:footnote>
  <w:footnote w:type="continuationSeparator" w:id="0">
    <w:p w14:paraId="0F13EE3C" w14:textId="77777777" w:rsidR="00A878BA" w:rsidRDefault="00A878BA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EBEBF" w14:textId="4364C630" w:rsidR="00E816AA" w:rsidRDefault="00E816AA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E07224">
      <w:rPr>
        <w:noProof/>
      </w:rPr>
      <w:drawing>
        <wp:inline distT="0" distB="0" distL="0" distR="0" wp14:anchorId="54186719" wp14:editId="40FCF58C">
          <wp:extent cx="5743575" cy="590550"/>
          <wp:effectExtent l="0" t="0" r="9525" b="0"/>
          <wp:docPr id="16911383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39DADD6D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E816AA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E816AA">
      <w:rPr>
        <w:rFonts w:ascii="Calibri" w:hAnsi="Calibri" w:cs="Calibri"/>
        <w:sz w:val="16"/>
        <w:szCs w:val="16"/>
      </w:rPr>
      <w:t>47/KAHP/2026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41438"/>
    <w:rsid w:val="00051DE4"/>
    <w:rsid w:val="00053654"/>
    <w:rsid w:val="000C0714"/>
    <w:rsid w:val="000D452D"/>
    <w:rsid w:val="000E1F85"/>
    <w:rsid w:val="00101EA0"/>
    <w:rsid w:val="001269C4"/>
    <w:rsid w:val="00141AED"/>
    <w:rsid w:val="001603E8"/>
    <w:rsid w:val="00165663"/>
    <w:rsid w:val="0016606D"/>
    <w:rsid w:val="001750BF"/>
    <w:rsid w:val="001D43B1"/>
    <w:rsid w:val="001D5E90"/>
    <w:rsid w:val="00203D42"/>
    <w:rsid w:val="0023501F"/>
    <w:rsid w:val="002560B4"/>
    <w:rsid w:val="00256106"/>
    <w:rsid w:val="002950BD"/>
    <w:rsid w:val="0029746A"/>
    <w:rsid w:val="00297EC9"/>
    <w:rsid w:val="002A525A"/>
    <w:rsid w:val="002B14AA"/>
    <w:rsid w:val="002C52B5"/>
    <w:rsid w:val="002F53A5"/>
    <w:rsid w:val="00315410"/>
    <w:rsid w:val="00320C0D"/>
    <w:rsid w:val="003316C1"/>
    <w:rsid w:val="00391526"/>
    <w:rsid w:val="003961FE"/>
    <w:rsid w:val="003A4FE2"/>
    <w:rsid w:val="003A7B01"/>
    <w:rsid w:val="003C7535"/>
    <w:rsid w:val="003D3036"/>
    <w:rsid w:val="004046C5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505D90"/>
    <w:rsid w:val="005119F3"/>
    <w:rsid w:val="005229A9"/>
    <w:rsid w:val="00525EDA"/>
    <w:rsid w:val="00532D55"/>
    <w:rsid w:val="005340B5"/>
    <w:rsid w:val="00547308"/>
    <w:rsid w:val="005B0B72"/>
    <w:rsid w:val="005C42D5"/>
    <w:rsid w:val="00603CA0"/>
    <w:rsid w:val="00614642"/>
    <w:rsid w:val="00630726"/>
    <w:rsid w:val="00652DFC"/>
    <w:rsid w:val="0067003B"/>
    <w:rsid w:val="00673F17"/>
    <w:rsid w:val="0067423F"/>
    <w:rsid w:val="00682779"/>
    <w:rsid w:val="006B0182"/>
    <w:rsid w:val="006C6ED7"/>
    <w:rsid w:val="006E19E2"/>
    <w:rsid w:val="00705F4F"/>
    <w:rsid w:val="00707CBE"/>
    <w:rsid w:val="00737F5F"/>
    <w:rsid w:val="0076322A"/>
    <w:rsid w:val="00772182"/>
    <w:rsid w:val="00777261"/>
    <w:rsid w:val="007871D1"/>
    <w:rsid w:val="00790FB2"/>
    <w:rsid w:val="007A4827"/>
    <w:rsid w:val="007A604B"/>
    <w:rsid w:val="007A63B5"/>
    <w:rsid w:val="007C239C"/>
    <w:rsid w:val="00832F19"/>
    <w:rsid w:val="00834BF7"/>
    <w:rsid w:val="00855516"/>
    <w:rsid w:val="00897758"/>
    <w:rsid w:val="008B026F"/>
    <w:rsid w:val="008B08AC"/>
    <w:rsid w:val="008B4FA0"/>
    <w:rsid w:val="008C3F43"/>
    <w:rsid w:val="008E3901"/>
    <w:rsid w:val="00924F73"/>
    <w:rsid w:val="00931393"/>
    <w:rsid w:val="00950069"/>
    <w:rsid w:val="00953FF0"/>
    <w:rsid w:val="00966D03"/>
    <w:rsid w:val="00982B29"/>
    <w:rsid w:val="00982FAE"/>
    <w:rsid w:val="009860E4"/>
    <w:rsid w:val="009930E0"/>
    <w:rsid w:val="009C10D5"/>
    <w:rsid w:val="009D6A05"/>
    <w:rsid w:val="00A618C3"/>
    <w:rsid w:val="00A878BA"/>
    <w:rsid w:val="00AA2E6E"/>
    <w:rsid w:val="00AB7145"/>
    <w:rsid w:val="00AD7C98"/>
    <w:rsid w:val="00B10AB9"/>
    <w:rsid w:val="00B265ED"/>
    <w:rsid w:val="00B43994"/>
    <w:rsid w:val="00B50A5C"/>
    <w:rsid w:val="00B56D2A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52064"/>
    <w:rsid w:val="00D542B4"/>
    <w:rsid w:val="00D569FC"/>
    <w:rsid w:val="00D823CB"/>
    <w:rsid w:val="00D82B8C"/>
    <w:rsid w:val="00DE47E2"/>
    <w:rsid w:val="00E153CC"/>
    <w:rsid w:val="00E816AA"/>
    <w:rsid w:val="00EA2265"/>
    <w:rsid w:val="00ED21FE"/>
    <w:rsid w:val="00EE6B0D"/>
    <w:rsid w:val="00EF7DD5"/>
    <w:rsid w:val="00F27E1D"/>
    <w:rsid w:val="00F304E5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8afe539-39bc-49a4-89a4-b884955233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FE16249811447BEF7FAEBAA1DA04C" ma:contentTypeVersion="10" ma:contentTypeDescription="Utwórz nowy dokument." ma:contentTypeScope="" ma:versionID="5da9cf31269c35d0d4e04ab72c932f86">
  <xsd:schema xmlns:xsd="http://www.w3.org/2001/XMLSchema" xmlns:xs="http://www.w3.org/2001/XMLSchema" xmlns:p="http://schemas.microsoft.com/office/2006/metadata/properties" xmlns:ns3="68afe539-39bc-49a4-89a4-b884955233cc" targetNamespace="http://schemas.microsoft.com/office/2006/metadata/properties" ma:root="true" ma:fieldsID="4636a6c192ec833a71125c4e918823a0" ns3:_="">
    <xsd:import namespace="68afe539-39bc-49a4-89a4-b884955233c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fe539-39bc-49a4-89a4-b884955233c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68afe539-39bc-49a4-89a4-b884955233cc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A1909-93E7-43F1-911D-A2F467C05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afe539-39bc-49a4-89a4-b88495523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1516</Words>
  <Characters>9184</Characters>
  <Application>Microsoft Office Word</Application>
  <DocSecurity>0</DocSecurity>
  <Lines>477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3</cp:revision>
  <dcterms:created xsi:type="dcterms:W3CDTF">2026-02-13T13:39:00Z</dcterms:created>
  <dcterms:modified xsi:type="dcterms:W3CDTF">2026-02-13T13:47:00Z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0x010100EC1FE16249811447BEF7FAEBAA1DA04C</vt:lpwstr>
  </property>
  <property fmtid="{D5CDD505-2E9C-101B-9397-08002B2CF9AE}" pid="3" name="MediaServiceImageTags">
    <vt:lpwstr/>
  </property>
</Properties>
</file>